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2D" w:rsidRPr="00EE0889" w:rsidRDefault="00EE0889" w:rsidP="005855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A46338" w:rsidRPr="0058559C">
        <w:rPr>
          <w:rFonts w:ascii="Times New Roman" w:eastAsia="Times New Roman" w:hAnsi="Times New Roman" w:cs="Times New Roman"/>
          <w:color w:val="000000"/>
          <w:sz w:val="24"/>
          <w:szCs w:val="24"/>
        </w:rPr>
        <w:t>аблица</w:t>
      </w:r>
      <w:r w:rsidR="00AD7635" w:rsidRPr="00AD7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9192D" w:rsidRPr="0058559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99192D" w:rsidRPr="005855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</w:p>
    <w:p w:rsidR="0099192D" w:rsidRPr="0058559C" w:rsidRDefault="00A46338" w:rsidP="005855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59C">
        <w:rPr>
          <w:rFonts w:ascii="Times New Roman" w:eastAsia="Times New Roman" w:hAnsi="Times New Roman" w:cs="Times New Roman"/>
          <w:color w:val="000000"/>
          <w:sz w:val="24"/>
          <w:szCs w:val="24"/>
        </w:rPr>
        <w:t>Наследственные</w:t>
      </w:r>
      <w:r w:rsidR="00AD7635" w:rsidRPr="00AD7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разновидности</w:t>
      </w:r>
      <w:r w:rsidR="00AD7635" w:rsidRPr="00AD7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color w:val="000000"/>
          <w:sz w:val="24"/>
          <w:szCs w:val="24"/>
        </w:rPr>
        <w:t>рака</w:t>
      </w:r>
      <w:r w:rsidR="00AD7635" w:rsidRPr="00AD7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color w:val="000000"/>
          <w:sz w:val="24"/>
          <w:szCs w:val="24"/>
        </w:rPr>
        <w:t>толстой</w:t>
      </w:r>
      <w:r w:rsidR="00AD7635" w:rsidRPr="00AD7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color w:val="000000"/>
          <w:sz w:val="24"/>
          <w:szCs w:val="24"/>
        </w:rPr>
        <w:t>кишки</w:t>
      </w:r>
      <w:r w:rsidR="00AD7635" w:rsidRPr="00AD7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color w:val="000000"/>
          <w:sz w:val="24"/>
          <w:szCs w:val="24"/>
        </w:rPr>
        <w:t>(РТК)</w:t>
      </w:r>
    </w:p>
    <w:p w:rsidR="00ED3062" w:rsidRPr="0058559C" w:rsidRDefault="0099192D" w:rsidP="005855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Hereditary</w:t>
      </w:r>
      <w:r w:rsidR="00AD7635" w:rsidRPr="00AD76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subtypes</w:t>
      </w:r>
      <w:r w:rsidR="00AD7635" w:rsidRPr="00AD76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colorectal</w:t>
      </w:r>
      <w:r w:rsidR="00AD7635" w:rsidRPr="00AD76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cancer</w:t>
      </w:r>
      <w:r w:rsidR="00AD7635" w:rsidRPr="00AD76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(CRC)</w:t>
      </w:r>
    </w:p>
    <w:tbl>
      <w:tblPr>
        <w:tblStyle w:val="a7"/>
        <w:tblW w:w="0" w:type="auto"/>
        <w:tblInd w:w="-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933"/>
        <w:gridCol w:w="3048"/>
        <w:gridCol w:w="4078"/>
        <w:gridCol w:w="3951"/>
      </w:tblGrid>
      <w:tr w:rsidR="00ED3062" w:rsidRPr="00EE0889" w:rsidTr="00857E8B"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 w:rsidR="0099192D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/Syndrome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gramEnd"/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наследования</w:t>
            </w:r>
            <w:r w:rsidR="0099192D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/Gene(s),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9192D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inheritance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9192D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type</w:t>
            </w:r>
          </w:p>
        </w:tc>
        <w:tc>
          <w:tcPr>
            <w:tcW w:w="0" w:type="auto"/>
          </w:tcPr>
          <w:p w:rsidR="00ED3062" w:rsidRPr="0058559C" w:rsidRDefault="00A46338" w:rsidP="004C4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Клиническая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картина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предраковые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состояния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молекулярные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черты</w:t>
            </w:r>
            <w:r w:rsidR="0099192D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/Clinical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9192D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presentation,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9192D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premalignant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9192D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conditions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9192D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9192D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molecular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9192D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features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РТК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здоровых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носителей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патогенных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мутаций</w:t>
            </w:r>
            <w:proofErr w:type="gramStart"/>
            <w:r w:rsidR="00180542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  <w:proofErr w:type="gramEnd"/>
            <w:r w:rsidR="00857E8B" w:rsidRPr="00857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="009E72B1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CRC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surveillance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guidelines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healthy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carriers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pathogenic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mutations</w:t>
            </w:r>
            <w:r w:rsidR="00180542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ED3062" w:rsidRPr="00EE0889" w:rsidTr="00857E8B"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Семейный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аденоматозный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полипоз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72B1" w:rsidRPr="0058559C" w:rsidRDefault="00776D06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(вариант: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Гар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днера,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внекишечные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проявления)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/Familial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adenomatous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polyposis</w:t>
            </w:r>
          </w:p>
          <w:p w:rsidR="009E72B1" w:rsidRPr="0058559C" w:rsidRDefault="009E72B1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9E72B1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(variant: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Gardner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syndrome,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which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characterized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pronounced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extracolonic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manifestations)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APC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062" w:rsidRPr="0058559C" w:rsidRDefault="009E72B1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АД/AD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vj4u6o24f4lo" w:colFirst="0" w:colLast="0"/>
            <w:bookmarkEnd w:id="0"/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(без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риск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фатален);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реже: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папиллярный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щитовидной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железы;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опухоли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ЖКТ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т.ч.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гепатобластома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медуллобластома.</w:t>
            </w:r>
            <w:proofErr w:type="gramEnd"/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проявления: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десмоидные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опухоли,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фибромы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эпидермоидные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кисты,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еоид-остеомы;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врожденная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гипертрофия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эпителия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пигментного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слоя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сетчатки,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(олигодонтия,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сверхкомплектные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зубы,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ретинированные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зубы)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[1]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b4hnbbv1950i" w:colFirst="0" w:colLast="0"/>
            <w:bookmarkEnd w:id="1"/>
          </w:p>
          <w:p w:rsidR="00ED3062" w:rsidRPr="00D57FAB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2" w:name="_heading=h.tgqag750gocg" w:colFirst="0" w:colLast="0"/>
            <w:bookmarkEnd w:id="2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Аденоматозные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полипы</w:t>
            </w:r>
            <w:r w:rsidRP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чаще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D57FAB" w:rsidRP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</w:t>
            </w:r>
          </w:p>
          <w:p w:rsidR="00ED3062" w:rsidRPr="00D57FAB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3" w:name="_heading=h.p7zy1zqodi9m" w:colFirst="0" w:colLast="0"/>
            <w:bookmarkEnd w:id="3"/>
          </w:p>
          <w:p w:rsidR="009E72B1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4" w:name="_heading=h.gjojmsvt58fx" w:colFirst="0" w:colLast="0"/>
            <w:bookmarkEnd w:id="4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хромосомные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перестройки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гипермутабельность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характерна</w:t>
            </w:r>
            <w:proofErr w:type="gramEnd"/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[2]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/CRC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severe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(risk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fatal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without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treatment);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less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frequently: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small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bowel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papillary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thyroid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carcinoma;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rarely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other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tumors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(including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hepatoblastoma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under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age),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medulloblastoma.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Other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manifestations: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desmoid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tumors,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fibromas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epidermal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cysts,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osteoid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osteomas;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congenital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hypertrophy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retinal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pigment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epithelium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(CHRPE),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dental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abnormalities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(oligodontia,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supernumerary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teeth,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impacted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teeth)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</w:t>
            </w:r>
          </w:p>
          <w:p w:rsidR="009E72B1" w:rsidRPr="0058559C" w:rsidRDefault="009E72B1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9E72B1" w:rsidRPr="0058559C" w:rsidRDefault="009E72B1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Adenomatous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typically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D57FAB" w:rsidRP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[1]</w:t>
            </w:r>
          </w:p>
          <w:p w:rsidR="009E72B1" w:rsidRPr="0058559C" w:rsidRDefault="009E72B1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9E72B1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Characterized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chromosomal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rearrangements;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hypermutability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[2]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Колоноскопия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&gt;0,5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диаметре,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(&gt;1000),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диспластичные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(ворсинчатые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опухоли),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симптомов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(кишечное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кровотечение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т.д.)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колэктомии/колпроктэктомии</w:t>
            </w:r>
          </w:p>
          <w:p w:rsidR="009E72B1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выраженности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липоза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6]</w:t>
            </w:r>
            <w:r w:rsidR="00857E8B" w:rsidRPr="00857E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Colonoscopy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annually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depending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intensity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starting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age.</w:t>
            </w:r>
          </w:p>
          <w:p w:rsidR="009E72B1" w:rsidRPr="0058559C" w:rsidRDefault="009E72B1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larger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than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diameter,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large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number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(&gt;1000),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dysplastic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lesions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(villous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tumors),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appearance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symptoms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(intestinal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bleeding,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etc.)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indications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elective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prophylactic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colectomy/proctocolectomy.</w:t>
            </w:r>
          </w:p>
          <w:p w:rsidR="00ED3062" w:rsidRPr="0058559C" w:rsidRDefault="009E72B1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surgery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depends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severity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rectal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6]</w:t>
            </w:r>
          </w:p>
        </w:tc>
      </w:tr>
      <w:tr w:rsidR="00ED3062" w:rsidRPr="00EE0889" w:rsidTr="00857E8B">
        <w:trPr>
          <w:trHeight w:val="2240"/>
        </w:trPr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lastRenderedPageBreak/>
              <w:t>AXIN2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ассоциированный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полипоз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олигодонтия</w:t>
            </w:r>
            <w:r w:rsidR="009E72B1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="009E72B1" w:rsidRPr="0058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AXIN2</w:t>
            </w:r>
            <w:r w:rsidR="009E72B1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-associated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E72B1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polyposis-oligodontia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AXIN2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ED3062" w:rsidRPr="0058559C" w:rsidRDefault="009E72B1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АД/AD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аттенуированного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олигодонтия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(60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71FE" w:rsidRPr="00C771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пациентов),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эктодермальная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дисплазия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(редкие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волосы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волосистой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бровей)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[7]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Аттенуированный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аденоматозный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(10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[7]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BE7" w:rsidRPr="00AD7635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ассоциированных</w:t>
            </w:r>
            <w:proofErr w:type="gramEnd"/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изучены</w:t>
            </w:r>
            <w:r w:rsidR="00585BE7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attenuated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585BE7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oligodontia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>(60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71FE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patients</w:t>
            </w:r>
            <w:r w:rsidR="00585BE7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ectodermal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dysplasia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sparse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scalp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eyebrow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hair</w:t>
            </w:r>
            <w:r w:rsidR="00585BE7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>[7]</w:t>
            </w:r>
          </w:p>
          <w:p w:rsidR="00585BE7" w:rsidRPr="00AD7635" w:rsidRDefault="00585BE7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BE7" w:rsidRPr="0058559C" w:rsidRDefault="00585BE7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Attenuated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adenomatous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(10</w:t>
            </w:r>
            <w:r w:rsidR="00D57FAB" w:rsidRP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[7]</w:t>
            </w:r>
          </w:p>
          <w:p w:rsidR="00585BE7" w:rsidRPr="0058559C" w:rsidRDefault="00585BE7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585BE7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molecular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characteristics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associated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CRCs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been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studied.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Колоноскопия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хирургическое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невозможности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эндоскопической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санации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EB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Редкость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(~20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биомедицинской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литературе)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препятствует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7]</w:t>
            </w:r>
            <w:r w:rsidR="00857E8B" w:rsidRPr="00857E8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Colonoscopy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present,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identified,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starting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age;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surgical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endoscopic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clearance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bowel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possible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[6]</w:t>
            </w:r>
            <w:proofErr w:type="gramEnd"/>
          </w:p>
          <w:p w:rsidR="00E32EB2" w:rsidRPr="0058559C" w:rsidRDefault="00E32EB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E32EB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rarity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(~20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biomedical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literature)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hinders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risk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carriers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evidence-based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recommendations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7]</w:t>
            </w:r>
          </w:p>
        </w:tc>
      </w:tr>
      <w:tr w:rsidR="00ED3062" w:rsidRPr="00EE0889" w:rsidTr="00857E8B"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Синдром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Линча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наследственный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неполипозный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РТК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3516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(Вариант: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Мюир-Торре,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множественные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опухоли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сальных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гене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MSH2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57E8B" w:rsidRPr="00857E8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2351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Lynch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351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syndrome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351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351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hereditary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351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nonpolyposis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351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colorectal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351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</w:t>
            </w:r>
          </w:p>
          <w:p w:rsidR="00323516" w:rsidRPr="0058559C" w:rsidRDefault="0032351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32351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(Variant: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Muir-Torre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syndrome,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characterized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multiple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sebaceous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tumors,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usually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carriers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MSH2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mutations)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MLH1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MSH2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MSH6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PMS2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EPCAM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делеции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последних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экзонов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D3062" w:rsidRPr="0058559C" w:rsidRDefault="009E72B1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АД/AD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РТК,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РТМ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реже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гастроинтестинальные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раки,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яичников,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уротелиальный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предстательной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железы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сальных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адренокортикальный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разновидности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сарком,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глиомы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т.д.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[8]</w:t>
            </w:r>
            <w:proofErr w:type="gramEnd"/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5BE7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Немногочисленные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аденоматозные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полипы,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уплощенные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полипоидные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видимых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предраковых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образований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[9]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585BE7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Гипермутабельные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опухоли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(MSI-H)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[10]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/CRC,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endometrial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cancer;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less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frequently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other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gastrointestinal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cancers,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ovarian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urothelial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carcinoma,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prostate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sebaceous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gland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tumors;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rarely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adrenocortical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carcinoma,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certain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types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sarcomas,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gliomas,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etc.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[8]</w:t>
            </w:r>
          </w:p>
          <w:p w:rsidR="00585BE7" w:rsidRPr="0058559C" w:rsidRDefault="00585BE7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85BE7" w:rsidRPr="0058559C" w:rsidRDefault="00585BE7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Few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adenomatous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polyps,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flat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polypoid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lesions,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cancer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without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visible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precancerous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lesions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[9]</w:t>
            </w:r>
          </w:p>
          <w:p w:rsidR="00585BE7" w:rsidRPr="0058559C" w:rsidRDefault="00585BE7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D3062" w:rsidRPr="0058559C" w:rsidRDefault="00585BE7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Hypermutable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tumors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(MSI-H)</w:t>
            </w:r>
            <w:r w:rsidR="00AD7635" w:rsidRPr="00AD7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[10]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Колоноскопия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3062" w:rsidRPr="0058559C" w:rsidRDefault="00AD7635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r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46338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MSH2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MLH1</w:t>
            </w:r>
            <w:r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делеции</w:t>
            </w:r>
            <w:r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EPCAM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3062" w:rsidRPr="0058559C" w:rsidRDefault="00D57FAB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46338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MSH6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PMS2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11]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Возможен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аспирина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дозе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11]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9A6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MSI-H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агностический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маркер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иммунотерапии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раке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/Colonoscopy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starting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from:</w:t>
            </w:r>
          </w:p>
          <w:p w:rsidR="00F929A6" w:rsidRPr="0058559C" w:rsidRDefault="00F929A6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MSH2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MLH1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EPCAM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deletions)</w:t>
            </w:r>
          </w:p>
          <w:p w:rsidR="00F929A6" w:rsidRPr="0058559C" w:rsidRDefault="00F929A6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MSH6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PMS2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11]</w:t>
            </w:r>
          </w:p>
          <w:p w:rsidR="00F929A6" w:rsidRPr="0058559C" w:rsidRDefault="00F929A6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929A6" w:rsidRPr="0058559C" w:rsidRDefault="00F929A6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Daily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aspirin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intake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least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considered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11]</w:t>
            </w:r>
          </w:p>
          <w:p w:rsidR="00F929A6" w:rsidRPr="0058559C" w:rsidRDefault="00F929A6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F929A6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MSI-H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agnostic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marker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immunotherapy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ED3062" w:rsidRPr="00EE0889" w:rsidTr="00857E8B">
        <w:tc>
          <w:tcPr>
            <w:tcW w:w="0" w:type="auto"/>
          </w:tcPr>
          <w:p w:rsidR="00ED3062" w:rsidRPr="00EE0889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Конститутивная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недостаточность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репар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ации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неспаренных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оснований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ДНК</w:t>
            </w:r>
            <w:r w:rsidR="00585BE7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onstitutional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mismatch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repair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deficiency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syndrome</w:t>
            </w:r>
            <w:r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CMMRD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D3062" w:rsidRPr="00EE0889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F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MLH</w:t>
            </w:r>
            <w:r w:rsidRPr="00EE08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7F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MSH</w:t>
            </w:r>
            <w:r w:rsidRPr="00EE08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7F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MSH</w:t>
            </w:r>
            <w:r w:rsidRPr="00EE08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7F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PMS</w:t>
            </w:r>
            <w:r w:rsidRPr="00EE08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7F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EPCAM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делеции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последних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экзонов</w:t>
            </w:r>
            <w:r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585BE7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585BE7" w:rsidRPr="00D57F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MLH</w:t>
            </w:r>
            <w:r w:rsidR="00585BE7" w:rsidRPr="00EE08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585BE7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D57F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MSH</w:t>
            </w:r>
            <w:r w:rsidR="00585BE7" w:rsidRPr="00EE08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585BE7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D57F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MSH</w:t>
            </w:r>
            <w:r w:rsidR="00585BE7" w:rsidRPr="00EE08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="00585BE7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D57F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PMS</w:t>
            </w:r>
            <w:r w:rsidR="00585BE7" w:rsidRPr="00EE088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585BE7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D57F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EPCAM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deletions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>3`</w:t>
            </w:r>
            <w:r w:rsidR="00AD7635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exon</w:t>
            </w:r>
            <w:r w:rsidR="00585BE7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85BE7" w:rsidRPr="00EE0889">
              <w:rPr>
                <w:rFonts w:ascii="Times New Roman" w:eastAsia="Times New Roman" w:hAnsi="Times New Roman" w:cs="Times New Roman"/>
                <w:sz w:val="24"/>
                <w:szCs w:val="24"/>
              </w:rPr>
              <w:t>))</w:t>
            </w:r>
          </w:p>
          <w:p w:rsidR="00ED3062" w:rsidRPr="00EE0889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9E72B1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АР/AR</w:t>
            </w:r>
          </w:p>
        </w:tc>
        <w:tc>
          <w:tcPr>
            <w:tcW w:w="0" w:type="auto"/>
          </w:tcPr>
          <w:p w:rsidR="00ED3062" w:rsidRPr="0058559C" w:rsidRDefault="004C47E5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Мультиопухолевый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глиобластомы,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неходжкинские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лимфомы,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лейкозы,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олигополипоза,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РТМ,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саркомы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мягких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тканей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т.д.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[13]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Аттенуированный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аденоматозный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(10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[13]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EB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Гипермутабельные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ультрагипермутабельные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опухоли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(MSI-H,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нередко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соматическими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мутациями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генах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POLE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POLD1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[13]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</w:rPr>
              <w:t>/A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multi-tumo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</w:rPr>
              <w:t>r”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syndrome: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glioblastomas,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non-Hodgkin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lymphomas,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leukemias,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CRC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small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bowel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context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oligopolyposis,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endometrial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bone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soft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tissue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sarcomas,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etc.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[13]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Attenuated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adenomatous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(10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[13]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Hypermutable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ultra-hypermutable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tumors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(MSI-H,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often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combined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somatic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POLE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POLD1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genes)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[13]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Колоноскопия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[14]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9A6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MSI-H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агностический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маркер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иммунотерапии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раке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/Colonoscopy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annually,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starting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[14]</w:t>
            </w:r>
          </w:p>
          <w:p w:rsidR="00F929A6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MSI-H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agnostic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marker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immunotherapy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</w:tr>
      <w:tr w:rsidR="00ED3062" w:rsidRPr="00EE0889" w:rsidTr="00857E8B"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MUTYH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ассоциированный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857E8B" w:rsidRPr="00857E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85BE7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MUTYH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-associated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MUTYH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9E72B1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АР/AR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аттенуированного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реже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яичников,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мочевого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пузыря,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желудка,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эндометрия;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аденомы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щитовидной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железы,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гиперплазия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коры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надпочечников,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кисты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челюсти,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врожденная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гипертрофия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пигментного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эпителия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сетчатки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[15]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Аттенуированный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аденоматозный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(обычно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выраженный</w:t>
            </w:r>
            <w:proofErr w:type="gramEnd"/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множественные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54F6" w:rsidRPr="006454F6">
              <w:rPr>
                <w:rFonts w:ascii="Times New Roman" w:eastAsia="Times New Roman" w:hAnsi="Times New Roman" w:cs="Times New Roman"/>
                <w:sz w:val="24"/>
                <w:szCs w:val="24"/>
              </w:rPr>
              <w:t>«зубчатые»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54F6" w:rsidRPr="006454F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[15]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EB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мутационные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(SBS18,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SBS36),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характеризующиеся,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образом,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заменами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G:C&gt;A:T.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выше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типичного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спорадического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MSS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РТК.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Необычная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черта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всех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генах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KRAS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NRAS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BRAF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встречается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лишь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G12C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гене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KRAS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[16]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/CRC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attenuated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less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frequently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ovarian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bladder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small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bowel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gastric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endometrial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possible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thyroid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adenomas,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adrenal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cortex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hyperplasia,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jaw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cysts,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congenital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hypertrophy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retinal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pigment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epithelium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[15]</w:t>
            </w:r>
            <w:proofErr w:type="gramEnd"/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Attenuated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adenomatous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(typically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rarely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severe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multiple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serrated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possible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[15]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Specific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mutational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signatures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(SBS18,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SBS36),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characterized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mainly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:C</w:t>
            </w:r>
            <w:proofErr w:type="gramEnd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&gt;A:T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substitutions.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number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several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times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than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sporadic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CRC.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unusual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feature: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among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potentially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occurring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KRAS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NRAS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BRAF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genes,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G12C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substitution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KRAS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found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[16]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Колоноскопия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NCCN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колоноскопического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скрининга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Колэктомия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эндоскопических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находок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(невозможность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санации)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5;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6]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9A6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Иммунотерапия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MUTYH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-ассоциированных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раках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стандартом,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патогенетическое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(повышение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TMB)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ее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удачного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[16;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17;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18]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/Colonoscopy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starting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NCCN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recommendations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suggest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starting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colonoscopic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screening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later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than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Colectomy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endoscopic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findings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(inability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achieve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clearance)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6]</w:t>
            </w:r>
          </w:p>
          <w:p w:rsidR="00F929A6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Immunotherapy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MUTYH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-associated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standard,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pathogenic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rationale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efficacy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(increased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TMB)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several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reports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successful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18]</w:t>
            </w:r>
          </w:p>
        </w:tc>
      </w:tr>
      <w:tr w:rsidR="00ED3062" w:rsidRPr="00EE0889" w:rsidTr="00857E8B">
        <w:tc>
          <w:tcPr>
            <w:tcW w:w="0" w:type="auto"/>
          </w:tcPr>
          <w:p w:rsidR="00585BE7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NTHL1-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ассоциированный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857E8B" w:rsidRPr="00857E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85BE7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NTHL1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-associated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NTHL1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9E72B1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АР/AR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РТМ,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уротелиальный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молочной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железы,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глиома,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менингиома,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базальноклеточный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плоскоклеточный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кожи,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шеи,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лимфома/лейкоз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[19]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Аттенуированный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аденоматозный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(обычно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единичные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гиперпластические/</w:t>
            </w:r>
            <w:r w:rsidR="006454F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454F6" w:rsidRPr="006454F6">
              <w:rPr>
                <w:rFonts w:ascii="Times New Roman" w:eastAsia="Times New Roman" w:hAnsi="Times New Roman" w:cs="Times New Roman"/>
                <w:sz w:val="24"/>
                <w:szCs w:val="24"/>
              </w:rPr>
              <w:t>зубчатые»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54F6" w:rsidRPr="006454F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[19]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EB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мутационная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(SBS30),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характеризующаяся,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образом,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заменами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C&gt;T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пределами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CpG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[20]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/CRC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context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colonic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polyposis,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endometrial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urothelial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carcinoma,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breast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glioma,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meningioma,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basal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squamous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cell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skin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head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neck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lymphoma/leukemia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[19]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Attenuated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adenomatous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(typically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solitary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hyperplastic/“serrated”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possible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[19]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Molecular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features: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specific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mutational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signature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(SBS30),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characterized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mainly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C&gt;T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substitutions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outside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CpG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sites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[20]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Колоноскопия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хирургическое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невозможности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эндоскопической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санации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Возможен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скрининга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аналогичный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МАП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[5]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9A6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Редкость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(~70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биомедицинской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литературе)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препятствует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[19]</w:t>
            </w:r>
            <w:r w:rsidR="00857E8B" w:rsidRPr="00857E8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Colonoscopy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present,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identified,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starting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age;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surgical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endoscopic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clearance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bowel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possible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[6].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F929A6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9A6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screening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analogous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MAP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also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possible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[5]</w:t>
            </w:r>
          </w:p>
          <w:p w:rsidR="00F929A6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rarity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(~70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biomedical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literature)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hinders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risk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carriers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evidence-based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recommendations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[19]</w:t>
            </w:r>
          </w:p>
        </w:tc>
      </w:tr>
      <w:tr w:rsidR="00ED3062" w:rsidRPr="00EE0889" w:rsidTr="00857E8B">
        <w:tc>
          <w:tcPr>
            <w:tcW w:w="0" w:type="auto"/>
          </w:tcPr>
          <w:p w:rsidR="00585BE7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MBD4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ассоциированный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857E8B" w:rsidRPr="00857E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85BE7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MBD4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-associated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MBD4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9E72B1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АР/AR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увеальная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меланома,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миелоидный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лейкоз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миелодиспластического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шваннома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?,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гранулезоклеточная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опухоль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яичников?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[21]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Аттенуированный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аденоматозный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(обычно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10–100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[21]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EB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Неярко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гипермутабельность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(10</w:t>
            </w:r>
            <w:r w:rsidR="00173F8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мут/Мб),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мутационная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(SBS96),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характеризующаяся,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образом,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заменами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C&gt;T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CpG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сайтах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[21]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/CRC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context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colonic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polyposis,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uveal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melanoma,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acute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myeloid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leukemia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context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myelodysplastic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syndrome,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schwannoma?,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ovarian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granulosa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cell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tumor?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[21]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Attenuated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adenomatous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(typically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10–100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[21]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E32EB2" w:rsidP="008C49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Mild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hypermutability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(10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mut/Mb),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specific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mutational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signature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(SBS96),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characterized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mainly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C&gt;T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substitutions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CpG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sites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[21]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Колоноскопия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2–3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38E8" w:rsidRPr="00D038E8">
              <w:rPr>
                <w:rFonts w:ascii="Times New Roman" w:eastAsia="Times New Roman" w:hAnsi="Times New Roman" w:cs="Times New Roman"/>
                <w:sz w:val="24"/>
                <w:szCs w:val="24"/>
              </w:rPr>
              <w:t>1–2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38E8" w:rsidRPr="00D038E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18–20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хирургическое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невозможности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эндоскопической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санации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Возможен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скрининга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аналогичный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МАП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[5]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MBD4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-ассоциированные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увеальные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меланомы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поддаются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иммунотерапии,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контексте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[22]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9A6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Редкость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(~20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биомедицинской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литературе)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препятствует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[21]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Colonoscopy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3F8B" w:rsidRPr="00173F8B">
              <w:rPr>
                <w:rFonts w:ascii="Times New Roman" w:eastAsia="Times New Roman" w:hAnsi="Times New Roman" w:cs="Times New Roman"/>
                <w:sz w:val="24"/>
                <w:szCs w:val="24"/>
              </w:rPr>
              <w:t>1–</w:t>
            </w:r>
            <w:r w:rsidR="00173F8B" w:rsidRPr="00173F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3F8B" w:rsidRPr="00173F8B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identified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starting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</w:rPr>
              <w:t>18–20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age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surgical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treatment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endoscopic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clearance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bowel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possible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[6]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F929A6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9A6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screening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analogous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MAP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also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possible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[5]</w:t>
            </w:r>
          </w:p>
          <w:p w:rsidR="00F929A6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MBD4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-associated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uveal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melanomas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respond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well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immunotherapy;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experience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treating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syndrome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[22].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rarity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(~20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biomedical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literature)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hinders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risk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carriers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evidence-based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recommendations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[21]</w:t>
            </w:r>
          </w:p>
        </w:tc>
      </w:tr>
      <w:tr w:rsidR="00ED3062" w:rsidRPr="00EE0889" w:rsidTr="00857E8B">
        <w:tc>
          <w:tcPr>
            <w:tcW w:w="0" w:type="auto"/>
          </w:tcPr>
          <w:p w:rsidR="00585BE7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MSH3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ассоциированный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85BE7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MSH3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-associated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MSH3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9E72B1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АР/AR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спектр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внекишечных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неизвестен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[23]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Аттенуированный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аденоматозный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10–100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[23;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24]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EB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мутационная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характеризующаяся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инсерциями/делециями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тетрануклеотидных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(EMAST).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являются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подобные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опухоли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гипермутабельными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[23;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25]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/CRC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colonic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spectrum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extracolonic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manifestations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unknown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[23]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Attenuated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adenomatous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10–100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[23;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specific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mutational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signature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characterized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insertions/deletions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tetranucleotide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repeats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(EMAST).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unknown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whether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such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tumors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hypermutable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[23;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25]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Колоноскопия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2–3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38E8" w:rsidRPr="00D038E8">
              <w:rPr>
                <w:rFonts w:ascii="Times New Roman" w:eastAsia="Times New Roman" w:hAnsi="Times New Roman" w:cs="Times New Roman"/>
                <w:sz w:val="24"/>
                <w:szCs w:val="24"/>
              </w:rPr>
              <w:t>1–2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38E8" w:rsidRPr="00D038E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</w:rPr>
              <w:t>25–30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хирургическое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невозможности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эндоскопической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санации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[6]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Возможен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скрининга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аналогичный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МАП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[5]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9A6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Редкость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(~10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биомедицинской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литературе)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препятствует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[24]</w:t>
            </w:r>
            <w:r w:rsidR="00857E8B" w:rsidRPr="00857E8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Colonoscopy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</w:rPr>
              <w:t>2–3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present,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3F8B" w:rsidRPr="00173F8B">
              <w:rPr>
                <w:rFonts w:ascii="Times New Roman" w:eastAsia="Times New Roman" w:hAnsi="Times New Roman" w:cs="Times New Roman"/>
                <w:sz w:val="24"/>
                <w:szCs w:val="24"/>
              </w:rPr>
              <w:t>1–2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3F8B" w:rsidRPr="00173F8B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identified,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starting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</w:rPr>
              <w:t>25–30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age;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surgical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endoscopic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clearance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bowel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possible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[6].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F929A6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9A6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screening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analogous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MAP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also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possible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[5]</w:t>
            </w:r>
          </w:p>
          <w:p w:rsidR="00F929A6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rarity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(~10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biomedical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literature)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hinders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risk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carriers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development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evidence-based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recommendations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[24]</w:t>
            </w:r>
          </w:p>
        </w:tc>
      </w:tr>
      <w:tr w:rsidR="00ED3062" w:rsidRPr="00EE0889" w:rsidTr="00857E8B">
        <w:tc>
          <w:tcPr>
            <w:tcW w:w="0" w:type="auto"/>
          </w:tcPr>
          <w:p w:rsidR="00585BE7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MLH3-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ассоциированный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857E8B" w:rsidRPr="00857E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85BE7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MLH3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-associated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MLH3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9E72B1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АР/AR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спектр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внекишечных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неизвестен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[26;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27]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Аттенуированный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классический</w:t>
            </w:r>
            <w:proofErr w:type="gramEnd"/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аденоматозный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(10</w:t>
            </w:r>
            <w:r w:rsidR="00173F8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[26;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27]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EB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MLH3-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ассоциированных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неоплазм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[26]</w:t>
            </w:r>
            <w:r w:rsidR="00857E8B" w:rsidRPr="00857E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colonic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spectrum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extracolonic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manifestations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unknown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Attenuated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adenomatous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(10</w:t>
            </w:r>
            <w:r w:rsidR="00173F8B" w:rsidRPr="00173F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molecular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characteristics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MLH3-associated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neoplasms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[26]</w:t>
            </w:r>
          </w:p>
        </w:tc>
        <w:tc>
          <w:tcPr>
            <w:tcW w:w="0" w:type="auto"/>
          </w:tcPr>
          <w:p w:rsidR="00F929A6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Колоноскопия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2–3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38E8" w:rsidRPr="00D038E8">
              <w:rPr>
                <w:rFonts w:ascii="Times New Roman" w:eastAsia="Times New Roman" w:hAnsi="Times New Roman" w:cs="Times New Roman"/>
                <w:sz w:val="24"/>
                <w:szCs w:val="24"/>
              </w:rPr>
              <w:t>1–2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38E8" w:rsidRPr="00D038E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</w:rPr>
              <w:t>25–30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хирургическое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невозможности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эндоскопической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санации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[6]</w:t>
            </w:r>
          </w:p>
          <w:p w:rsidR="00F929A6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Возможен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скрининга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аналогичный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МАП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[5]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9A6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Редкость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биомедицинской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литературе)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препятствует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[26;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27]</w:t>
            </w:r>
            <w:r w:rsidR="00857E8B" w:rsidRPr="00857E8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Colonoscopy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</w:rPr>
              <w:t>2–3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present,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3F8B" w:rsidRPr="00173F8B">
              <w:rPr>
                <w:rFonts w:ascii="Times New Roman" w:eastAsia="Times New Roman" w:hAnsi="Times New Roman" w:cs="Times New Roman"/>
                <w:sz w:val="24"/>
                <w:szCs w:val="24"/>
              </w:rPr>
              <w:t>1–2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3F8B" w:rsidRPr="00173F8B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identified,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starting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</w:rPr>
              <w:t>25–30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age;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surgical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endoscopic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clearance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bowel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possible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[6]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F929A6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9A6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screening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analogous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MAP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also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possible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[5]</w:t>
            </w:r>
          </w:p>
          <w:p w:rsidR="00F929A6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F929A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rarity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biomedical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literature)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hinders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risk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carriers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evidence-based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recommendations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27]</w:t>
            </w:r>
          </w:p>
        </w:tc>
      </w:tr>
      <w:tr w:rsidR="00ED3062" w:rsidRPr="00EE0889" w:rsidTr="00857E8B">
        <w:tc>
          <w:tcPr>
            <w:tcW w:w="0" w:type="auto"/>
          </w:tcPr>
          <w:p w:rsidR="00585BE7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Дефект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корректирующей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полимераз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POLE</w:t>
            </w:r>
            <w:r w:rsidR="00AD7635" w:rsidRPr="00AD7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POLD1</w:t>
            </w:r>
            <w:r w:rsidR="00857E8B" w:rsidRPr="00857E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85BE7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POLE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POLD1</w:t>
            </w:r>
            <w:r w:rsidR="00AD7635" w:rsidRPr="00AD7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polymerase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proofreading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deficiency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Экзонуклеазные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генов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POLE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POLD1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9E72B1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АД/AD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аденоматозного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единичных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РТМ,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яичников,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молочной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железы,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глиомы,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желудка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извращают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функцию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полимеразы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ассоциированы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CMMRD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[28;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29;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30]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Аттенуированный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аденоматозный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10–100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единичные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полипы,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54F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зубчатых</w:t>
            </w:r>
            <w:r w:rsidR="006454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[28;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EB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Гипермутабельные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ультрагипермутабельные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опухоли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(часто),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мутационные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(SBS10a,b,c,d;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SBS14;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SBS20)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[31;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32].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gain-of-function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инактивации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нормального</w:t>
            </w:r>
            <w:proofErr w:type="gramEnd"/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аллеля,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POLD1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нередко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выявляют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54F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потерю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гетерозиготности</w:t>
            </w:r>
            <w:r w:rsidR="006454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[33;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34]</w:t>
            </w:r>
            <w:r w:rsidR="00857E8B" w:rsidRPr="00857E8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CRC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context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adenomatous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solitary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endometrial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ovarian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breast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gliomas,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gastric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small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bowel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Some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alter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function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respective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polymerase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associated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CMMRD-like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clinical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picture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30]</w:t>
            </w:r>
          </w:p>
          <w:p w:rsidR="00E32EB2" w:rsidRPr="0058559C" w:rsidRDefault="00E32EB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2EB2" w:rsidRPr="0058559C" w:rsidRDefault="00E32EB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Attenuated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adenomatous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10–100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solitary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“serrated”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detected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[28;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29]</w:t>
            </w:r>
          </w:p>
          <w:p w:rsidR="00E32EB2" w:rsidRPr="0058559C" w:rsidRDefault="00E32EB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E32EB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Hypermutable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ultra-hypermutable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tumors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(frequently),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specific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mutational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signatures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(SBS10a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,b,c,d</w:t>
            </w:r>
            <w:proofErr w:type="gramEnd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SBS14;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SBS20)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[31;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32].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POLE,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gain-of-function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mechanism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require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inactivation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normal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allele;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POLD1,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“loss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heterozygosity”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often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detected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[33;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34]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скринингу: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аналогичный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редким</w:t>
            </w:r>
            <w:proofErr w:type="gramEnd"/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AXIN2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MSH3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MLH3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NTHL1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(МАП,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MBD4-ассоциированный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либо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колоноскопия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38E8" w:rsidRPr="00D038E8">
              <w:rPr>
                <w:rFonts w:ascii="Times New Roman" w:eastAsia="Times New Roman" w:hAnsi="Times New Roman" w:cs="Times New Roman"/>
                <w:sz w:val="24"/>
                <w:szCs w:val="24"/>
              </w:rPr>
              <w:t>1–2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38E8" w:rsidRPr="00D038E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хирургическое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невозможности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эндоскопической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санации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Представляется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разумным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тактику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генотипа,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ранний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скрининг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случаях,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потенциально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подобных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CMMRD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[5;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30]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9A6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POLE-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POLD1-ассоциированные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опухоли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иммунотерапию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[32]</w:t>
            </w:r>
            <w:r w:rsidR="00857E8B" w:rsidRPr="00857E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Three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screening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approaches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exist: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similar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="00F929A6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AXIN2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MSH3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MLH3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NTHL1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intensive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(like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MAP,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MBD4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-associated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colonoscopy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3F8B" w:rsidRPr="00173F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1–2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3F8B" w:rsidRPr="00173F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starting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surgical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treatment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endoscopic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clearance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possible.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seems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reasonable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choose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tactics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clinical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presentation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genotype,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offering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intensive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earlier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screening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potentially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similar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CMMRD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[5;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929A6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30]</w:t>
            </w:r>
          </w:p>
          <w:p w:rsidR="00F929A6" w:rsidRPr="0058559C" w:rsidRDefault="00F929A6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F929A6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POLE-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POLD1-associated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tumors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respond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well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immunotherapy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[32]</w:t>
            </w:r>
          </w:p>
        </w:tc>
      </w:tr>
      <w:tr w:rsidR="00ED3062" w:rsidRPr="00EE0889" w:rsidTr="00857E8B">
        <w:tc>
          <w:tcPr>
            <w:tcW w:w="0" w:type="auto"/>
          </w:tcPr>
          <w:p w:rsidR="00ED3062" w:rsidRPr="0058559C" w:rsidRDefault="00A46338" w:rsidP="00645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Семейный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54F6" w:rsidRPr="006454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зубчатый</w:t>
            </w:r>
            <w:r w:rsidR="006454F6" w:rsidRPr="006454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/Familial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serrated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RNF43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9E72B1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АД/AD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54F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зубчатого</w:t>
            </w:r>
            <w:r w:rsidR="006454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Риск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РТК/полипоза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неизвестен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[35;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36]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6454F6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4F6">
              <w:rPr>
                <w:rFonts w:ascii="Times New Roman" w:eastAsia="Times New Roman" w:hAnsi="Times New Roman" w:cs="Times New Roman"/>
                <w:sz w:val="24"/>
                <w:szCs w:val="24"/>
              </w:rPr>
              <w:t>«зубчатые»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54F6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(обычно,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полипов).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случаях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патогенных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даже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зрелом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возрасте,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пенетрантности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даже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фенотипом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[35;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6338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36]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EB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Молекулярные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RNF43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-ассоциированных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опухолей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неизвестны.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По-видимому,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опухоли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микросателлит-стабильны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[35]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serrated</w:t>
            </w:r>
            <w:r w:rsidR="004C47E5" w:rsidRPr="004C47E5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risk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CRC/polyposis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carriers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unknown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[35;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2EB2" w:rsidRPr="0058559C" w:rsidRDefault="004C47E5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“Serrated”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(typically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than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polyps).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some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carriers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pathogenic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adulthood,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suggesting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reduced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penetrance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lack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association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phenotype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[35;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molecular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characteristics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RNF43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-associated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tumors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unknown.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Apparently,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tumors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usually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microsatellite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[35]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Колоноскопия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73F8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хирургическое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невозможности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эндоскопической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санации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54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Редкость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(~25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биомедицинской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литературе)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препятствует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[36]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/Colonoscopy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present,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73F8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identified,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starting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age;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surgical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endoscopic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clearance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bowel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possible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[6]</w:t>
            </w:r>
            <w:proofErr w:type="gramEnd"/>
          </w:p>
          <w:p w:rsidR="00180542" w:rsidRPr="0058559C" w:rsidRDefault="0018054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18054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rarity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(~25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biomedical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literature)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hinders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risk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carriers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evidence-based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recommendations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[36]</w:t>
            </w:r>
          </w:p>
        </w:tc>
      </w:tr>
      <w:tr w:rsidR="00ED3062" w:rsidRPr="00EE0889" w:rsidTr="00857E8B">
        <w:tc>
          <w:tcPr>
            <w:tcW w:w="0" w:type="auto"/>
          </w:tcPr>
          <w:p w:rsidR="00585BE7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Синдром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Пейтца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Егерса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/Peutz-Jeghers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syndrome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STK11</w:t>
            </w:r>
            <w:r w:rsidR="00AD7635" w:rsidRPr="00AD76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(другое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LKB1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9E72B1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АД/AD</w:t>
            </w:r>
          </w:p>
        </w:tc>
        <w:tc>
          <w:tcPr>
            <w:tcW w:w="0" w:type="auto"/>
          </w:tcPr>
          <w:p w:rsidR="00F90FC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РТК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гамартомного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желудка,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гамартомные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полипы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локализаций,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поджелудочной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железы,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молочной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железы,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опухоль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яичника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тяжа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кольцевидными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трубочками,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опухоль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яичка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Сертоли–Лейдига,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РТМ,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шейки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матки,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легкого;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(тонкокишечная)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непроходимость;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гиперпигментация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слизистых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губ,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периорбитальной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периназальной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кончиков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пальцев,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перианальной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гениталий.</w:t>
            </w:r>
            <w:proofErr w:type="gramEnd"/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Гиперпигментация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~5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исчезнуть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взрослом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[37;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38]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Гамартомный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специфической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454F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Пейтца-Егерса</w:t>
            </w:r>
            <w:r w:rsidR="006454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аденоматозные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(всего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73F8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[37;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38]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EB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канцерогенеза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0FC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Пейтца-Егерса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лежит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соединительнотканной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стромы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эпителиального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компартмента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гамартомных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каскад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PI3K/AKT/mTOR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[38]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/CRC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hamartomatous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small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bowel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stomach,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hamartomatous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other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locations,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pancreatic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breast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sex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annular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tubules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ovary,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Sertoli-Leydig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testis,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endometrial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cervical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cancer;</w:t>
            </w:r>
            <w:proofErr w:type="gramEnd"/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small</w:t>
            </w:r>
            <w:proofErr w:type="gramEnd"/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bowel)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intestinal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obstruction;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hyperpigmentation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mucosa,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lips,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periorbital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perinasal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areas,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fingertips,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perianal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area,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genitals.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Hyperpigmentation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often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~5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fade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adulthood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[37;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Hamartomatous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specific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morphology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(“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Peutz-Jeghers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ps”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additionally,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adenomatous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often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arise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(usually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73F8B" w:rsidRPr="00173F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[37;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Carcinogenesis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Peutz-Jeghers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syndrome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disrupted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interaction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between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connective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tissue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stroma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epithelial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compartment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hamartomatous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PI3K/AKT/mTOR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cascade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involved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[38]</w:t>
            </w:r>
          </w:p>
        </w:tc>
        <w:tc>
          <w:tcPr>
            <w:tcW w:w="0" w:type="auto"/>
          </w:tcPr>
          <w:p w:rsidR="00ED3062" w:rsidRPr="0058559C" w:rsidRDefault="00A46338" w:rsidP="00173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Колоноскопия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2–3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73F8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если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колоноскопии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выявлены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полипы.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Если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скрининг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периодичностью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[38]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</w:t>
            </w:r>
            <w:proofErr w:type="gramEnd"/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olonoscopy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2–3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starting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73F8B" w:rsidRPr="00173F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found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during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first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colonoscopy.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found,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start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regular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screening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same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frequency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[38]</w:t>
            </w:r>
          </w:p>
        </w:tc>
      </w:tr>
      <w:tr w:rsidR="00ED3062" w:rsidRPr="00EE0889" w:rsidTr="00857E8B">
        <w:tc>
          <w:tcPr>
            <w:tcW w:w="0" w:type="auto"/>
          </w:tcPr>
          <w:p w:rsidR="00585BE7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Ювенильный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BE7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ювенильный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младенческого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Juvenile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</w:p>
          <w:p w:rsidR="00585BE7" w:rsidRPr="0058559C" w:rsidRDefault="00585BE7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5BE7" w:rsidRPr="0058559C" w:rsidRDefault="00585BE7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Variant: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Juvenile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infancy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SMAD4</w:t>
            </w:r>
          </w:p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BMPR1A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Ювенильный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мл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енческого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ко-делеция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BMPR1A</w:t>
            </w:r>
            <w:r w:rsidR="00AD7635" w:rsidRPr="00AD76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PTEN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D3062" w:rsidRPr="0058559C" w:rsidRDefault="009E72B1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/AD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РТК,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желудка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(обычно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гене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SMAD4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гамартомного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вышележащих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ЖКТ,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поджелудочной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железы;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кишечное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кровотечение;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пациентов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наследственными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мутациями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гене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SMAD4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симптомы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наследственной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геморрагической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телеангиэктазии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[39]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Гамартомный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специфической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454F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ювенильные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полипы</w:t>
            </w:r>
            <w:r w:rsidR="006454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варьирующие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(от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нескольких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сотен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полипов).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пациентов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гене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BMPR1A</w:t>
            </w:r>
            <w:r w:rsidR="00AD7635" w:rsidRPr="00AD76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развиваться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клиника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смешанного</w:t>
            </w:r>
            <w:proofErr w:type="gramEnd"/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(разнообразные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морфологические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типы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полипов).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наблюдаться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(несколько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полипов).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пациентов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протяженной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делецией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длинном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плече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хромосомы,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вовлекающей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BMPR1A</w:t>
            </w:r>
            <w:r w:rsidR="00AD7635" w:rsidRPr="00AD763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PTEN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раннем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профузный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мальабсорбцией,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белок-теряющей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энтеропатией,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эпизодами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непроходимости,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кишечных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кровотечений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т.д.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(ювенильный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младенческого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[38;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39;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40]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EB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канцерогенеза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ювенильном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лежит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соединительнотканной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стромы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эпителиального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компартмента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гамартомных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извращения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сигнального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каскада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TGF-beta.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ювенильного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младенческого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вовлекается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каскад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PI3K/AKT/mTOR: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тяжести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также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таргетируемую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уязвим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ость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опухолевых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клеток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[38;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40]/CRC,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small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bowel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gastric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(usually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carriers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SMAD4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gene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mutations)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context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hamartomatous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colon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upper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GI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tract,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pancreatic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cancer;</w:t>
            </w:r>
            <w:proofErr w:type="gramEnd"/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intestinal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bleeding;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patients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hereditary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SMAD4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mutations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symptoms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hereditary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hemorrhagic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telangiectasia.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[39]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Hamartomatous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specific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morphology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(“juvenile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polyps”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varying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greatly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number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(from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few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hundreds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polyps).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Patients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BMPR1A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mutation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mixed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phenotype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(diverse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morphological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polyps).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absent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few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polyps).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patients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large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deletion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chromosome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involving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both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BMPR1A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PTEN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profuse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small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large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bowel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early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childhood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severe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malabsorption,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protein-losing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enteropathy,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episodes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intestinal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obstruction,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intestinal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bleeding,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etc.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(Juvenile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infancy)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Carcinogenesis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juvenile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disrupted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interaction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between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connective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tissue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stroma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epithelial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compartment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hamartomatous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altered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TGF-beta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signaling.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juvenile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infancy,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PI3K/AKT/mTOR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cascade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additionally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involved: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underlies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severity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syndrome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also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creates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targetable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vulnerability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cells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40]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Колоноскопия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года,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73F8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[38]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54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ювенильного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младенческого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больных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(n=7)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было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показано,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ингибиторы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mTOR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вызывают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инволюцию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замедление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смягчают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[40]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/Colonoscopy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starting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73F8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[38]</w:t>
            </w:r>
          </w:p>
          <w:p w:rsidR="00180542" w:rsidRPr="0058559C" w:rsidRDefault="0018054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18054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juvenile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infancy,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small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series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patients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(n=7)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showed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that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mTOR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inhibitors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cause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regression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slow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growth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alleviate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manifestations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[40]</w:t>
            </w:r>
          </w:p>
        </w:tc>
      </w:tr>
      <w:tr w:rsidR="00ED3062" w:rsidRPr="00EE0889" w:rsidTr="00857E8B"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Опухолевый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PTEN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гамартом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Кауден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Райли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Баннаян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Рувалькаба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PTEN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опосредованный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Протея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/PTEN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hamartoma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syndrome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(Cowden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syndrome,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Bannayan-Riley-Ruvalcaba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syndrome,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PTEN-associated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Proteus-like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syndrome)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PTEN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D3062" w:rsidRPr="0058559C" w:rsidRDefault="009E72B1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АД/AD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щитовидной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железы,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молочной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железы,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почки,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эндометрия,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диспластическая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ганглиоцитома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мозжечка,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относительно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риск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РТК;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липомы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гамартомные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кожи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слизистых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(трихилеммомы,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акральный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кератоз,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папилломатозные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разрастания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кожи);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макроцефалия,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нейропсихического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[38;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41]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Гамартомный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присутствием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т.ч.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гамартом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ганглионевром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(&gt;10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лишь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771FE" w:rsidRPr="00C771F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[38;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42]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EB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канцерогенеза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лежит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соединительнотканной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стромы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эпителиального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компартмента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гамартомных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извращения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сигнального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каскада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PI3K/AKT/mTOR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[38;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41]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/Colonic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polyposis,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thyroid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breast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renal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endometrial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dysplastic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cerebellar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gangliocytoma,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relatively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risk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CRC;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lipomas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hamartomatous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lesions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skin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mucous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membranes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(trichilemmomas,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acral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keratosis,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papillomatous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skin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growths);</w:t>
            </w:r>
            <w:proofErr w:type="gramEnd"/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macrocephaly,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neurodevelopmental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disorders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[38;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41]</w:t>
            </w:r>
          </w:p>
          <w:p w:rsidR="00E32EB2" w:rsidRPr="0058559C" w:rsidRDefault="00E32EB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EB2" w:rsidRPr="0058559C" w:rsidRDefault="00E32EB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Hamartomatous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various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morphologies,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hamartomas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ganglioneuromas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(&gt;10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71FE" w:rsidRPr="00C771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cases)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42]</w:t>
            </w:r>
          </w:p>
          <w:p w:rsidR="00E32EB2" w:rsidRPr="0058559C" w:rsidRDefault="00E32EB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E32EB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Carcinogenesis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disrupted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interaction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between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connective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tissue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stroma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epithelial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compartment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hamartomatous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altered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PI3K/AKT/mTOR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signaling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[38;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41]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Колоноскопия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41]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/Colonoscopy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starting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[6;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41]</w:t>
            </w:r>
          </w:p>
        </w:tc>
      </w:tr>
      <w:tr w:rsidR="00ED3062" w:rsidRPr="00EE0889" w:rsidTr="00857E8B">
        <w:tc>
          <w:tcPr>
            <w:tcW w:w="0" w:type="auto"/>
          </w:tcPr>
          <w:p w:rsidR="00585BE7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Смешанный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/Mixed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hereditary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дупликация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промотора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гена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GREM</w:t>
            </w:r>
            <w:r w:rsidR="00AD7635" w:rsidRPr="00AD7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85BE7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/GREM1</w:t>
            </w:r>
            <w:r w:rsidR="00AD7635" w:rsidRPr="00AD7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promoter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duplication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ED3062" w:rsidRPr="0058559C" w:rsidRDefault="009E72B1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АД/AD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[43]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присутствием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10–100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[43]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EB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канцерогенеза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лежит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соединительнотканной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стромы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эпителиального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компартмента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гамартомных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GREM1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антагонист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BMP-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сигналинга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[43]</w:t>
            </w:r>
            <w:r w:rsidR="00857E8B" w:rsidRPr="00857E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colorectal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[43]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Colonic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various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morphologies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10–100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[43]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Carcinogenesis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disrupted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interaction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between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connective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tissue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stroma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epithelial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compartment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hamartomatous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polyps.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GREM1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antagonist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BMP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signaling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[43]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Колоноскопия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2–3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7FAB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полипов,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38E8" w:rsidRPr="00D038E8">
              <w:rPr>
                <w:rFonts w:ascii="Times New Roman" w:eastAsia="Times New Roman" w:hAnsi="Times New Roman" w:cs="Times New Roman"/>
                <w:sz w:val="24"/>
                <w:szCs w:val="24"/>
              </w:rPr>
              <w:t>1–2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38E8" w:rsidRPr="00D038E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полипоза,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</w:rPr>
              <w:t>25–30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хирургическое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невозможности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эндоскопической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санации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54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Редкость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(~25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биомедицинской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литературе)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препятствует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[43]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/Colonoscopy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</w:rPr>
              <w:t>2–3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present,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3F8B" w:rsidRPr="00173F8B">
              <w:rPr>
                <w:rFonts w:ascii="Times New Roman" w:eastAsia="Times New Roman" w:hAnsi="Times New Roman" w:cs="Times New Roman"/>
                <w:sz w:val="24"/>
                <w:szCs w:val="24"/>
              </w:rPr>
              <w:t>1–2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3F8B" w:rsidRPr="00173F8B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identified,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starting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4952" w:rsidRPr="008C4952">
              <w:rPr>
                <w:rFonts w:ascii="Times New Roman" w:eastAsia="Times New Roman" w:hAnsi="Times New Roman" w:cs="Times New Roman"/>
                <w:sz w:val="24"/>
                <w:szCs w:val="24"/>
              </w:rPr>
              <w:t>25–30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age;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surgical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endoscopic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clearance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bowel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possible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[6]</w:t>
            </w:r>
            <w:proofErr w:type="gramEnd"/>
          </w:p>
          <w:p w:rsidR="00180542" w:rsidRPr="0058559C" w:rsidRDefault="0018054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18054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rarity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(~25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biomedical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literature)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hinders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risk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carriers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evidence-based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recommendations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[43]</w:t>
            </w:r>
          </w:p>
        </w:tc>
      </w:tr>
      <w:tr w:rsidR="00ED3062" w:rsidRPr="00EE0889" w:rsidTr="00857E8B">
        <w:tc>
          <w:tcPr>
            <w:tcW w:w="0" w:type="auto"/>
          </w:tcPr>
          <w:p w:rsidR="00585BE7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Анемия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Швахмана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Даймонда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RPS20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ассоциированный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колоректальный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типа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[44;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45]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/Shwachman-Diamond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anemia</w:t>
            </w:r>
            <w:r w:rsidR="00857E8B" w:rsidRPr="00857E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RPS20-associated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familial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colorectal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[44;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RPS20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риск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мутаций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генах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ассоциированных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синдромом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Швахмана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Даймонда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[44;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45]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85BE7"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RPS20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risk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likely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also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elevated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carriers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mutations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other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associated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Shwachman-Diamond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5BE7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syndrome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9E72B1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АД/AD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неполипозный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кишки,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апластическая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анемия,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анемии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Швахмана-Даймонда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[44;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45;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46]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062" w:rsidRPr="0058559C" w:rsidRDefault="00A46338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Рак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видимых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предраковых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олигополипоз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[44;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450EE0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;46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EB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канцерогенеза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лежит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сборки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рибосом,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косвенно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влияющий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p53-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сигналинг.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Молекулярные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RPS20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-ассоциированных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опухолей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неизвестны,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опухоли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микросателлит-стабильны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[44;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45]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/Familial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nonpolyposis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colorectal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cancer,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possible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aplastic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anemia,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Shwachman-Diamond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anemia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[44;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45;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B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46]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Cancer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without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visible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precancerous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lesions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oligopolyposis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[44;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45;46]</w:t>
            </w:r>
          </w:p>
          <w:p w:rsidR="00E32EB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D3062" w:rsidRPr="0058559C" w:rsidRDefault="00E32EB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Carcinogenesis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defect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ribosome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assembly,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possibly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indirectly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affecting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p53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signaling.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molecular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characteristics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RPS20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-associated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tumors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unknown;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tumors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usually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microsatellite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stable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[44;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45]</w:t>
            </w:r>
          </w:p>
        </w:tc>
        <w:tc>
          <w:tcPr>
            <w:tcW w:w="0" w:type="auto"/>
          </w:tcPr>
          <w:p w:rsidR="00ED306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Колоноскопия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трансплантации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костного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мозга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анемии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Швахмана-Даймонда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[6]</w:t>
            </w:r>
          </w:p>
          <w:p w:rsidR="00ED3062" w:rsidRPr="0058559C" w:rsidRDefault="00ED3062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542" w:rsidRPr="0058559C" w:rsidRDefault="00A46338" w:rsidP="005855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Редкость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(5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семей/~15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биомедицинской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литературе)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препятствует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риска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носителей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выработке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обоснованных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рекомендаций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[44;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0EE0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45;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50EE0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Colonoscopy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once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every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starting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from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bone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marrow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transplantation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treatment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Shwachman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Diamond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anemia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0542" w:rsidRPr="0058559C">
              <w:rPr>
                <w:rFonts w:ascii="Times New Roman" w:eastAsia="Times New Roman" w:hAnsi="Times New Roman" w:cs="Times New Roman"/>
                <w:sz w:val="24"/>
                <w:szCs w:val="24"/>
              </w:rPr>
              <w:t>[6]</w:t>
            </w:r>
          </w:p>
          <w:p w:rsidR="00180542" w:rsidRPr="0058559C" w:rsidRDefault="0018054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0542" w:rsidRPr="0058559C" w:rsidRDefault="0018054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rarity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disease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families/~15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cases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biomedical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literature)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hinders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risk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carriers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evidence-based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recommendations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[44;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45;</w:t>
            </w:r>
            <w:r w:rsidR="00AD7635" w:rsidRPr="00AD76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55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46]</w:t>
            </w:r>
          </w:p>
          <w:p w:rsidR="00ED3062" w:rsidRPr="0058559C" w:rsidRDefault="00ED3062" w:rsidP="005855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80542" w:rsidRPr="0058559C" w:rsidRDefault="00180542" w:rsidP="00857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59C">
        <w:rPr>
          <w:rFonts w:ascii="Times New Roman" w:eastAsia="Times New Roman" w:hAnsi="Times New Roman" w:cs="Times New Roman"/>
          <w:sz w:val="24"/>
          <w:szCs w:val="24"/>
        </w:rPr>
        <w:lastRenderedPageBreak/>
        <w:t>Примечания:</w:t>
      </w:r>
    </w:p>
    <w:p w:rsidR="001806F2" w:rsidRPr="0058559C" w:rsidRDefault="00180542" w:rsidP="00857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59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Рассмотрение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опухолевых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проявлений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выходит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рамки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обзора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Кроме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упоминаем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эндоскопического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профилактического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вмешательства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ином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объеме.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Наконец,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отметить,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клинических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рекомендациях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присутствуют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важные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lastRenderedPageBreak/>
        <w:t>комментарии,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примеру,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поводу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учета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онкоан</w:t>
      </w:r>
      <w:r w:rsidR="001806F2" w:rsidRPr="0058559C">
        <w:rPr>
          <w:rFonts w:ascii="Times New Roman" w:eastAsia="Times New Roman" w:hAnsi="Times New Roman" w:cs="Times New Roman"/>
          <w:sz w:val="24"/>
          <w:szCs w:val="24"/>
        </w:rPr>
        <w:t>амнеза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6F2" w:rsidRPr="0058559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6F2" w:rsidRPr="0058559C">
        <w:rPr>
          <w:rFonts w:ascii="Times New Roman" w:eastAsia="Times New Roman" w:hAnsi="Times New Roman" w:cs="Times New Roman"/>
          <w:sz w:val="24"/>
          <w:szCs w:val="24"/>
        </w:rPr>
        <w:t>планировании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6F2" w:rsidRPr="0058559C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профилактических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0F1A" w:rsidRPr="0058559C">
        <w:rPr>
          <w:rFonts w:ascii="Times New Roman" w:eastAsia="Times New Roman" w:hAnsi="Times New Roman" w:cs="Times New Roman"/>
          <w:sz w:val="24"/>
          <w:szCs w:val="24"/>
        </w:rPr>
        <w:t>мероприятий.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3062" w:rsidRPr="0058559C" w:rsidRDefault="00180542" w:rsidP="00857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59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наследственной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мутации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гене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APC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исключает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микросателлитной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нестабильности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возникающих</w:t>
      </w:r>
      <w:proofErr w:type="gramEnd"/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РТК: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случаи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редки,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описаны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литературе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встречаются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рутинной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диагностике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[2]</w:t>
      </w:r>
      <w:r w:rsidR="00C771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0FC2" w:rsidRPr="00AD7635" w:rsidRDefault="00180542" w:rsidP="00857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1FE" w:rsidRPr="00C771FE">
        <w:rPr>
          <w:rFonts w:ascii="Times New Roman" w:eastAsia="Times New Roman" w:hAnsi="Times New Roman" w:cs="Times New Roman"/>
          <w:sz w:val="24"/>
          <w:szCs w:val="24"/>
        </w:rPr>
        <w:t>%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РТК,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развивающихся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больных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СЛ,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обладают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микросателлит-стабильным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статусом,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гипермутабельными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вероятно,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продемонстрируют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ответа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</w:rPr>
        <w:t>иммунотерапию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338"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[12]</w:t>
      </w:r>
      <w:r w:rsidR="00C771FE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71FE" w:rsidRPr="00AD7635" w:rsidRDefault="00C771FE" w:rsidP="00857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авторами</w:t>
      </w:r>
      <w:r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80542" w:rsidRPr="0058559C" w:rsidRDefault="00180542" w:rsidP="00857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Note</w:t>
      </w:r>
      <w:r w:rsidR="00C771FE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180542" w:rsidRPr="0058559C" w:rsidRDefault="00180542" w:rsidP="00857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Consideration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recommendations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prevention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other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tumor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manifestations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beyond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scope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review.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Furthermore,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not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address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protocol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endoscopic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surveillance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following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prophylactic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806F2"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806F2"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treatment-related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surgery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extent.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Finally,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should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noted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that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major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clinical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guidelines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contain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important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additional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commentary,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instance,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regarding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consideration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family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history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when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planning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timing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initiating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preventive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measures.</w:t>
      </w:r>
    </w:p>
    <w:p w:rsidR="00180542" w:rsidRPr="0058559C" w:rsidRDefault="00180542" w:rsidP="00857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presence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hereditary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APC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mutation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not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preclude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detection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microsatellite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instability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arising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CRCs: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such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cases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rare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but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have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been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described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literature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encountered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routine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diagnostics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[2].</w:t>
      </w:r>
    </w:p>
    <w:p w:rsidR="00180542" w:rsidRPr="00C771FE" w:rsidRDefault="00180542" w:rsidP="00857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Up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771FE" w:rsidRPr="00C771FE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CRCs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developing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patients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Lynch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have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microsatellite-stable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status,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may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not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hypermutable,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will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likely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not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respond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immunotherapy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[12].</w:t>
      </w:r>
    </w:p>
    <w:p w:rsidR="00C771FE" w:rsidRPr="00AD7635" w:rsidRDefault="00C771FE" w:rsidP="00857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Created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authors</w:t>
      </w:r>
      <w:r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80542" w:rsidRDefault="00180542" w:rsidP="005855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5" w:name="_GoBack"/>
      <w:bookmarkEnd w:id="5"/>
    </w:p>
    <w:p w:rsidR="00857E8B" w:rsidRPr="0058559C" w:rsidRDefault="00857E8B" w:rsidP="005855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857E8B" w:rsidRPr="0058559C" w:rsidSect="00180542">
          <w:pgSz w:w="15840" w:h="12240" w:orient="landscape"/>
          <w:pgMar w:top="1134" w:right="1134" w:bottom="1134" w:left="1134" w:header="720" w:footer="720" w:gutter="0"/>
          <w:pgNumType w:start="1"/>
          <w:cols w:space="720"/>
          <w:docGrid w:linePitch="299"/>
        </w:sectPr>
      </w:pPr>
    </w:p>
    <w:p w:rsidR="00ED3062" w:rsidRPr="0058559C" w:rsidRDefault="00ED3062" w:rsidP="005855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8559C" w:rsidRPr="0058559C" w:rsidRDefault="0058559C" w:rsidP="005855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  <w:r w:rsidRPr="005855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/REFERENCES</w:t>
      </w:r>
    </w:p>
    <w:p w:rsidR="0058559C" w:rsidRPr="0058559C" w:rsidRDefault="0058559C" w:rsidP="006454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Yen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T.,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Stanich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P.P.,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Axell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L.,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Patel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S.G.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APC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-Associated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Polyposis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Conditions.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1998.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[updated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2022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May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12].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Adam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M.P.,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Bick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Mirzaa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G.M.,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Pagon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R.A.,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Wallace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S.E.,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Amemiya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A.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editors.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GeneReviews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US"/>
        </w:rPr>
        <w:t>®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[Internet];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Seattle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(WA):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University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Washington,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Seattle;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1993–2025)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Start"/>
      <w:r w:rsidRPr="0058559C">
        <w:rPr>
          <w:rFonts w:ascii="Times New Roman" w:hAnsi="Times New Roman" w:cs="Times New Roman"/>
          <w:sz w:val="24"/>
          <w:szCs w:val="24"/>
          <w:lang w:val="en-US"/>
        </w:rPr>
        <w:t>cited</w:t>
      </w:r>
      <w:proofErr w:type="gramEnd"/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Calibri" w:hAnsi="Times New Roman" w:cs="Times New Roman"/>
          <w:sz w:val="24"/>
          <w:szCs w:val="24"/>
          <w:lang w:val="en-US"/>
        </w:rPr>
        <w:t>01.12.2024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https://www.ncbi.nlm.nih.gov/books/.</w:t>
      </w:r>
    </w:p>
    <w:p w:rsidR="0058559C" w:rsidRPr="0058559C" w:rsidRDefault="0058559C" w:rsidP="006454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Wang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Zhou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X.,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Wang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Gao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Wu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X.,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Guo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Liu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Fu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Tang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Genomic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transcriptomic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profiling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carcinogenesis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patients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familial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adenomatous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polyposis.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Gut.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2020;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69(7):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1283–93.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10.1136/gutjnl-2019-319438.</w:t>
      </w:r>
    </w:p>
    <w:p w:rsidR="0058559C" w:rsidRPr="0058559C" w:rsidRDefault="0058559C" w:rsidP="006454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Cheng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Zhang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X.,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Xu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Wang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Song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Wang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Shen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Wang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X.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Using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genotype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assist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clinical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surveillance: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retrospective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study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Chinese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familial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adenomatous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polyposis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patients.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2022;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12(9):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4254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66.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eCollection</w:t>
      </w:r>
      <w:proofErr w:type="gramEnd"/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2022.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Poylin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V.Y.,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Shaffer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V.O.,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Felder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S.I.,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Goldstein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Goldberg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Kalady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M.F.,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Lightner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Feingold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D.L.,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Paquette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I.M.;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Clinical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Practice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Guidelines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Committee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American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Society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Colon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Rectal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Surgeons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American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Society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Rectal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Surgeons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Clinical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Practice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Guidelines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Management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Inherited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Adenomatous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Polyposis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Rectum.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2024;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67(2):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213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27.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10.1097/DCR.0000000000003072.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Zaffaroni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Mannucci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Koskenvuo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Lacy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Maffioli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Bisseling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Half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Cavestro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Valle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Ryan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Aretz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Brown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Buttitta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Carneiro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Claber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Blanco-Colino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Collard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Crosbie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Cunha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Doulias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Fleming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Heinrich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Hüneburg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Metras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Nagtegaal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Negoi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Nielsen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Pellino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Ricciardiello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Sagir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Sánchez-Guillén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Seppälä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Siersema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Striebeck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Sampson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Latchford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Parc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Burn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Möslein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Updated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European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guidelines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clinical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management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familial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adenomatous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polyposis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(FAP),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MUTYH-associated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polyposis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(MAP),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gastric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adenocarcinoma,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proximal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polyposis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stomach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(GAPPS)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other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rare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adenomatous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polyposis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syndromes: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joint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EHTG-ESCP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revision.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Surg.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2024;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111(5):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znae070.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10.1093/bjs/znae070.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Hodan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R.,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Gupta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Weiss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J.M.,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Axell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L.,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Burke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C.A.,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Chen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L.M.,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Chung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D.C.,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Clayback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K.M.,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Felder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Foda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Z.,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Giardiello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F.M.,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Grady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W.,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Gustafson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Hagemann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Hall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M.J.,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Hampel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H.,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Idos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G.,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Joseph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N.,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Kassem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N.,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Katona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Kelly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K.,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Kieber-Emmons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Kupfer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Lang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K.,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Llor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X.,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Markowitz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A.J.,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Prats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M.M.,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Niell-Swiller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Outlaw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D.,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Pirzadeh-Miller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Samadder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N.J.,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Shibata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D.,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Stanich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P.P.,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Swanson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B.J.,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Szymaniak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B.M.,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Welborn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J.,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Wiesner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G.L.,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Yurgelun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M.B.,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Dwyer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Darlow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Diwan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Z.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Genetic/Familial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High-Risk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Assessment: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Colorectal,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Endometrial,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Gastric,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Version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3.2024,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NCCN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Clinical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Practice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Guidelines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Oncology.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Natl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Compr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Canc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Netw.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2024;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22(10):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695–711.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gramEnd"/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10.6004/jnccn.2024.0061.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Leclerc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Beaumont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Vibert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Pinson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Vermaut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Flament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Lovecchio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Delattre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Demay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Coulet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Guillerm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Hamzaoui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Benusiglio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Brahimi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Cornelis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Delhomelle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Fert-Ferrer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Fournier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B.P.J.,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Hovnanian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Legrand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Lortholary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Malka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Petit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Saurin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Lejeune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Colas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Buisine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M.P.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AXIN2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germline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testing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French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cohort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validates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pathogenic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variants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rare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cause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predisposition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colorectal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polyposis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Chromosomes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2023;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62(4):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210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22.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10.1002/gcc.23112.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Idos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Valle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Lynch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2004;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[updated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2021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Feb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4].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Adam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Feldman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Mirzaa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Pagon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Wallace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Amemiya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editors.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GeneReviews®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[Internet];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Seattle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(WA):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Washington,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Seattle;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1993–2025).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Start"/>
      <w:r w:rsidRPr="0058559C">
        <w:rPr>
          <w:rFonts w:ascii="Times New Roman" w:hAnsi="Times New Roman" w:cs="Times New Roman"/>
          <w:sz w:val="24"/>
          <w:szCs w:val="24"/>
          <w:lang w:val="en-US"/>
        </w:rPr>
        <w:t>cited</w:t>
      </w:r>
      <w:proofErr w:type="gramEnd"/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Calibri" w:hAnsi="Times New Roman" w:cs="Times New Roman"/>
          <w:sz w:val="24"/>
          <w:szCs w:val="24"/>
          <w:lang w:val="en-US"/>
        </w:rPr>
        <w:t>01.12.2024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https://www.ncbi.nlm.nih.gov/books/NBK1211/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Castillo-Iturra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Sánchez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Balaguer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Colonoscopic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surveillance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Lynch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guidelines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perspective.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Fam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2024;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23(4):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459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68.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10.1007/s10689-024-00414-y.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Ahadova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Gallon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Gebert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Ballhausen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Endris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Kirchner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Stenzinger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Burn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Knebel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Doeberitz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Bläker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Kloor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Three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molecular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pathways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model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colorectal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carcinogenesis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Lynch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2018;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143(1):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139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50.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10.1002/ijc.31300.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Seppälä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Latchford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Negoi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Sampaio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Soares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Jimenez-Rodriguez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Sánchez-Guillén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Evans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D.G.,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Ryan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Crosbie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Dominguez-Valentin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Burn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Kloor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Knebel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Doeberitz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M.V.,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Duijnhoven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F.JB.V.,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Quirke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Sampson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Møller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Möslein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G.;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European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Hereditary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Tumour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Group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(EHTG)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European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Society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Coloproctology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(ESCP).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European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guidelines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from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EHTG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ESCP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Lynch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updated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third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edition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Mallorca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guidelines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based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gender.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Br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J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Surg.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2021;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108(5):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484–98.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doi: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10.1002/bjs.11902.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Ranganathan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Sacca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Trottier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Kemel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Salo-Mullen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proofErr w:type="gramStart"/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,.</w:t>
      </w:r>
      <w:proofErr w:type="gramEnd"/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Catchings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Kane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Wang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Ravichandran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Ptashkin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Mehta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Garcia-Aguilar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Weiser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M.R,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Donoghue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M.T.A.,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Berger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M.F.,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Mandelker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Walsh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M.F.,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Carlo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Liu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Y.L.,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Cercek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Yaeger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Saltz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Segal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N.H,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Mendelsohn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R.B.,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Markowitz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Offit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Shia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Stadler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Z.K.,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Latham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Prevalence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Clinical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Implications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Mismatch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Repair-Proficient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Colorectal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Patients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Lynch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JCO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Precis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Oncol.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2023;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7: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e2200675.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10.1200/PO.22.00675.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lastRenderedPageBreak/>
        <w:t>Ercan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A.B.,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Aronson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Fernandez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al.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Clinical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biological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landscape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constitutional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mismatch-repair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deficiency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International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Replication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Repair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Deficiency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Consortium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cohort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study.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Lancet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Oncol.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2024;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25(5):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668–82.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10.1016/S1470-2045(24)00026-3.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Das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MacFarland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Meade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Hansford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Schneider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K.W.,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Kuiper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Jongmans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M.C.J.,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Lesmana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Schultz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K.A.P.,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Nichols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K.E.,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Durno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Zelley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Porter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States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Ben-Shachar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Savage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Kalish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Walsh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M.F.,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Scott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Plon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Tabori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Clinical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Updates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Surveillance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Recommendations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DNA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Replication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Repair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Deficiency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Children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Young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Adults.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Clin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2024;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30(16):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3378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87.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10.1158/1078-0432.CCR-23-3994.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Nielsen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Infante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Brand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MUTYH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Polyposis.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2012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Oct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[updated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2021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May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27].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Adam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Feldman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Mirzaa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Pagon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Wallace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Amemiya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editors.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GeneReviews®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[Internet];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Seattle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(WA):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Washington,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Seattle;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1993–2025).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cited</w:t>
      </w:r>
      <w:proofErr w:type="gramEnd"/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Calibri" w:hAnsi="Times New Roman" w:cs="Times New Roman"/>
          <w:sz w:val="24"/>
          <w:szCs w:val="24"/>
          <w:lang w:val="en-US"/>
        </w:rPr>
        <w:t>01.12.2024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].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URL: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https://www.ncbi.nlm.nih.gov/books/NBK107219/.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Disel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Sivakumar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Pham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Fleischmann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Anu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R.I.,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Sokol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Kurzrock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Increased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KRAS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G12C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Prevalence,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High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Tumor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Mutational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Burden,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Specific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Mutational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Signatures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Associated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MUTYH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Mutations: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Pan-Cancer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Analysis.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Oncologist.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2024;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29(2):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213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23.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10.1093/oncolo/oyad230.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Volkov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Yanus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Ivantsov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A.O.,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Moiseenko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F.V.,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Matorina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O.G.,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Bizin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I.V.,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Moiseyenko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Imyanitov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E.N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Efficacy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immune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checkpoint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blockade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MUTYH-associated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hereditary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colorectal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Invest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Drugs.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2020;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38(3):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894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98.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10.1007/s10637-019-00842-z.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Mathias-Machado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Peixoto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R.D.,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Ashton-Prolla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Silva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Dienstmann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Complete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Response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Immunotherapy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Patient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MUTYH-Associated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Polyposis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Gastric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Case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Report.Case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Rep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Oncol.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2023;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16(1):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504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10.1159/000530965.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Voer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Nielsen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Gao</w:t>
      </w:r>
      <w:proofErr w:type="gramEnd"/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Kuiper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Hoogerbrugge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NTHL1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Tumor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2020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Apr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[updated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2025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Mar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20].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(Adam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M.P.,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Feldman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Mirzaa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G.M.,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Pagon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R.A.,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Wallace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S.E.,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Amemiya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editors.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GeneReviews®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[Internet];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Seattle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(WA):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Washington,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Seattle;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1993–2025).</w:t>
      </w:r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Start"/>
      <w:r w:rsidRPr="0058559C">
        <w:rPr>
          <w:rFonts w:ascii="Times New Roman" w:hAnsi="Times New Roman" w:cs="Times New Roman"/>
          <w:sz w:val="24"/>
          <w:szCs w:val="24"/>
          <w:lang w:val="en-US"/>
        </w:rPr>
        <w:t>cited</w:t>
      </w:r>
      <w:proofErr w:type="gramEnd"/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Calibri" w:hAnsi="Times New Roman" w:cs="Times New Roman"/>
          <w:sz w:val="24"/>
          <w:szCs w:val="24"/>
          <w:lang w:val="en-US"/>
        </w:rPr>
        <w:t>01.12.2024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https://www.ncbi.nlm.nih.gov/books/NBK555473/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Grolleman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Voer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Elsayed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Nielsen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Weren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R.D.A.,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Palles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Ligtenberg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M.J.L.,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Vos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Broeke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S.W.,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Miranda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N.F.C.C.,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Kuiper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Kamping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Jansen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E.A.M.,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Vink-Börger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Popp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Spier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Hüneburg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James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Staninova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Lindsay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Cockburn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Spasic-Boskovic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Clendenning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Sweet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Capellá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lastRenderedPageBreak/>
        <w:t>Sjursen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Høberg-Vetti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Jongmans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Neveling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Geurts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Kessel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Morreau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Hes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Sijmons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Schackert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Ruiz-Ponte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Dymerska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Lubinski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Rivera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Foulkes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W.D.,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Tomlinson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Valle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Buchanan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D.D.,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Kenwrick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Adlard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Dimovski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Campbell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Aretz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Schindler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Wezel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Hoogerbrugge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Kuiper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R.P.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Mutational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Signature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Analysis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Reveals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NTHL1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Deficiency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Cause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Multi-tumor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Phenotype.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Cell.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2019;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35(2):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256–66.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10.1016/j.ccell.2018.12.011.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Terradas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Gonzalez-Abuin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García-Mulero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Viana-Errasti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Aiza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Piulats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Brunet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Capellá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Valle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MBD4-associated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neoplasia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screening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cases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suggestive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phenotypes.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Eur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Hum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Genet.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2023;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31(10):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1185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89.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10.1038/s41431-023-01418-5.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Saint-Ghislain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Derrien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Geoffrois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Gastaud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Lesimple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Negrier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Penel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Kurtz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Corre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Dutriaux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Gardrat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Barnhill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Matet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Cassoux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Houy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Ramtohul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Servois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Mariani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Piperno-Neumann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Stern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Rodrigues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MBD4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deficiency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predictive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response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immune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checkpoint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inhibitors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metastatic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uveal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melanoma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patients.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Eur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2022;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173: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105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12.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10.1016/j.ejca.2022.06.033.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Adam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Spier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Zhao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Kloth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Marquez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Hinrichsen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Kirfel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Tafazzoli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Horpaopan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Uhlhaas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Stienen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Friedrichs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Altmüller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Laner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Holzapfel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Peters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Kayser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Thiele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Holinski-Feder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Marra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Kristiansen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Nöthen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Büttner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Möslein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Betz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Brieger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Lifton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Aretz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Exome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Sequencing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Identifies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Biallelic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MSH3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Germline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Mutations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Recessive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Subtype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Colorectal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Adenomatous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Polyposis.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Hum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Genet.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2016;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99(2):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337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51.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10.1016/j.ajhg.2016.06.015.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Chang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Yang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Y.T.,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J.I.,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Liang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W.Y.,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Lu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Yang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Chao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Combined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Microsatellite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Instability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Elevated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Microsatellite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Alterations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Selected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Tetranucleotide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Repeats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(EMAST)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Might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More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Promising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Immune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Biomarker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Colorectal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Cancer.Oncologist.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2019;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24(12):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1534–42.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10.1634/theoncologist.2019-0171.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Leach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B.H.,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McGee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Tseng-Rogenski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Burke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Carethers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J.M.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Compound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heterozygous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MSH3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germline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variants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associated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tumor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somatic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DNA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mismatch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repair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dysfunction.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NPJ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Precis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Oncol.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2024;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8(1):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12.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10.1038/s41698-024-00511-2.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Olkinuora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Mayordomo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Kauppinen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Cerliani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M.B.,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Coraglio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Collia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Á.K.,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Gutiérrez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Alvarez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Cassana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Lopéz-Köstner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Jauk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García-Rivello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Ristimäki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Koskenvuo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Lepistö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Nieminen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Vaccaro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Pavicic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W.H.,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Peltomäki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Mono-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biallelic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germline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variants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DNA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glycosylase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adenomatous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polyposis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families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from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two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continents.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Front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Oncol.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2022;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12: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870863.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10.3389/fonc.2022.870863.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lastRenderedPageBreak/>
        <w:t>Johannesen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Karstensen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Rasmussen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A.Ø.,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Scott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E.A.H.,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Birkedal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Hansen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T.V.O.,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Steenholdt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Jelsig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A.M.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Novel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Case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Biallelic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MLH3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Variants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Patient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proofErr w:type="gramEnd"/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Rectal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Clin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Genet.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2025;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107(4):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480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82.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10.1111/cge.14689.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Palles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Martin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Domingo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Chegwidden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McGuire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Cuthill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Heitzer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E.;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CORGI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Consortium;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Kerr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Kerr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Kearsey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Clark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Tomlinson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Latchford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clinical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features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polymerase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proof-reading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associated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polyposis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(PPAP)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recommendations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patient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management.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Fam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2022;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21(2):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197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209.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10.1007/s10689-021-00256-y.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Buchanan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D.D.,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Stewart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Clendenning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Rosty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Mahmood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Pope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B.J.,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Jenkins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Hopper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Southey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Macrae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Winship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A.K.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Risk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colorectal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carriers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germ-line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mutation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POLD1.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Med.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2018;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20(8):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890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95.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10.1038/gim.2017.185.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Sehested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Meade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Scheie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Østrup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Bertelsen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Misiakou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Sarosiek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Kessler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Melchior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Munch-Petersen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H.F.,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Schmuth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Gottschling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Zschocke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Gallon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Wimmer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Constitutional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variants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causing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phenotype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reminiscent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constitutional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mismatch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repair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deficiency.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Hum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Mutat.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2022;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43(1):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85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96.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10.1002/humu.24299.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Mur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Viana-Errasti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García-Mulero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Magraner-Pardo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Muñoz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Pons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Capellá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Pineda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Feliubadaló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Valle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Recommendations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classification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germline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variants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exonuclease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domain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POLD1.Genome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Med.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2023;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15(1):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85.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10.1186/s13073-023-01234-y.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Ambrosini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Rousseau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Manca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Artz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Marabelle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André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Maddalena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Mazzoli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Intini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Cohen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Cercek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Segal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Saltz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Varghese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Yaeger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Nusrat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Goldberg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Ku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G.Y.,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Dika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Margalit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Grinshpun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Murtaza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Kasi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Schilsky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Lutfi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Shacham-Shmueli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Khan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Afghan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Weiss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Westphalen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C.B.,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Conca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Decker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Randon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Elez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Fakih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Schrock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A.B.,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Cremolini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Jayachandran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Overman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Lonardi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Pietrantonio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Immune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checkpoint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inhibitors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POLD1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proofreading-deficient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metastatic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colorectal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Oncol.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2024;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35(7):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643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55.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10.1016/j.annonc.2024.03.009.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Hühns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Nürnberg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Kandashwamy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K.K.,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Maletzki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Bauer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Prall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High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mutational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burden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colorectal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carcinomas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monoallelic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mutations: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absence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allelic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loss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promoter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methylation.Mod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Pathol.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2020;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33(6):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1220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31.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10.1038/s41379-019-0430-6.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Andrianova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Seplyarskiy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V.B.,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Terradas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Sánchez-Heras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A.B.,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Mur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Soto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Aiza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Borràs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Kondrashov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F.A.,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Kondrashov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Bazykin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Valle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Discovery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recessive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effect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human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polymerase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delta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proofreading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deficiency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through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mutational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analysis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POLD1-mutated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normal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cells.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Eur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Hum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Genet.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2024;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32(7):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837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45.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10.1038/s41431-024-01598-8.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H.H.N.,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J.C.W.,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Leung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W.K.,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Law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W.L.,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J.F.Y.,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A.K.W.,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Tsui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W.Y.,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A.S.Y.,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B.C.H.,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Yue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S.S.K.,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A.H.Y.,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Clevers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Yuen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Leung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S.Y.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RNF43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germline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somatic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mutation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serrated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neoplasia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pathway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its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association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BRAF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mutation.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Gut.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2017;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66(9):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1645–56.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10.1136/gutjnl-2016-311849.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Brinch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Byrjalsen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Lohse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Rasmussen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A.Ø.,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Karstensen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Kristiansen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B.S.,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Jelsig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A.M.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Germline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pathogenic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variants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RNF43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patients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without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serrated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polyposis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Fam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2024;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24(1):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10.1007/s10689-024-00428-6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McGarrity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Amos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C.I.,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Baker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M.J.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Peutz-Jeghers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2001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Feb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23.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[Updated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2021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Sep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2].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Adam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Feldman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Mirzaa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Adam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M.P.,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Bick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Mirzaa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G.M.,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Pagon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R.A.,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Wallace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S.E.,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Amemiya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A.,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editors.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GeneReviews®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[Internet];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Seattle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(WA):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Washington,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Seattle;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1993–2025).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Start"/>
      <w:r w:rsidRPr="0058559C">
        <w:rPr>
          <w:rFonts w:ascii="Times New Roman" w:hAnsi="Times New Roman" w:cs="Times New Roman"/>
          <w:sz w:val="24"/>
          <w:szCs w:val="24"/>
          <w:lang w:val="en-US"/>
        </w:rPr>
        <w:t>cited</w:t>
      </w:r>
      <w:proofErr w:type="gramEnd"/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Calibri" w:hAnsi="Times New Roman" w:cs="Times New Roman"/>
          <w:sz w:val="24"/>
          <w:szCs w:val="24"/>
          <w:lang w:val="en-US"/>
        </w:rPr>
        <w:t>01.12.2024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Style w:val="bkciteavail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https://www.ncbi.nlm.nih.gov/books/NBK1266/.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Yehia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Heald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Clinical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Spectrum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Science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Behind</w:t>
      </w:r>
      <w:proofErr w:type="gramEnd"/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Hamartomatous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Polyposis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Gastroenterology.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2023;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164(5):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800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11.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10.1053/j.gastro.2023.01.026.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Larsen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Haidle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MacFarland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Howe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J.R.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Juvenile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Polyposis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2003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May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13.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[Updated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2022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Feb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3].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Adam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M.P.,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Bick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Mirzaa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G.M.,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Pagon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R.A.,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Wallace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S.E.,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Amemiya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editors.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GeneReviews®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[Internet];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Seattle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(WA):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Washington,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Seattle;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1993–2025).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Start"/>
      <w:r w:rsidRPr="0058559C">
        <w:rPr>
          <w:rFonts w:ascii="Times New Roman" w:hAnsi="Times New Roman" w:cs="Times New Roman"/>
          <w:sz w:val="24"/>
          <w:szCs w:val="24"/>
          <w:lang w:val="en-US"/>
        </w:rPr>
        <w:t>cited</w:t>
      </w:r>
      <w:proofErr w:type="gramEnd"/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Calibri" w:hAnsi="Times New Roman" w:cs="Times New Roman"/>
          <w:sz w:val="24"/>
          <w:szCs w:val="24"/>
          <w:lang w:val="en-US"/>
        </w:rPr>
        <w:t>01.12.2024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URL: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https://www.ncbi.nlm.nih.gov/books/NBK1469/.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Taylor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Yerlioglu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Phen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Ballauff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Nedelkopoulou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Spier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Loverdos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Busoni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V.B.,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Heise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Dale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Meij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Sweet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Cohen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Fox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V.L.,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Aretz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Buderus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Thomson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Rojas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Uhlig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H.H.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mTOR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inhibitors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reduce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enteropathy,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intestinal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bleeding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colectomy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rate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patients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juvenile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polyposis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infancy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PTEN-BMPR1A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deletion.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Hum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Mol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Genet.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2021;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30(14):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1273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82.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10.1093/hmg/ddab094.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Yehia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Eng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PTEN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Hamartoma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Tumor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2001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Nov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29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[Updated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2021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Feb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11].(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Adam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M.P.,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Bick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Mirzaa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G.M.,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Pagon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R.A.,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Wallace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S.E.,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Amemiya</w:t>
      </w:r>
      <w:r w:rsidR="00AD7635" w:rsidRPr="00AD763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A.</w:t>
      </w:r>
      <w:r w:rsidRPr="0058559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AD7635" w:rsidRPr="00AD76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editors.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GeneReviews®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[Internet];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Seattle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(WA):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Washington,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Seattle;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1993–2025).</w:t>
      </w:r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[</w:t>
      </w:r>
      <w:proofErr w:type="gramStart"/>
      <w:r w:rsidRPr="0058559C">
        <w:rPr>
          <w:rFonts w:ascii="Times New Roman" w:hAnsi="Times New Roman" w:cs="Times New Roman"/>
          <w:sz w:val="24"/>
          <w:szCs w:val="24"/>
          <w:lang w:val="en-US"/>
        </w:rPr>
        <w:t>cited</w:t>
      </w:r>
      <w:proofErr w:type="gramEnd"/>
      <w:r w:rsidR="00AD7635" w:rsidRPr="00AD76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Calibri" w:hAnsi="Times New Roman" w:cs="Times New Roman"/>
          <w:sz w:val="24"/>
          <w:szCs w:val="24"/>
          <w:lang w:val="en-US"/>
        </w:rPr>
        <w:t>01.12.2024</w:t>
      </w:r>
      <w:r w:rsidRPr="0058559C">
        <w:rPr>
          <w:rFonts w:ascii="Times New Roman" w:hAnsi="Times New Roman" w:cs="Times New Roman"/>
          <w:sz w:val="24"/>
          <w:szCs w:val="24"/>
          <w:lang w:val="en-US"/>
        </w:rPr>
        <w:t>].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URL: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https://www.ncbi.nlm.nih.gov/books/NBK1488/.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D'Ermo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Genuardi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Gastrointestinal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manifestations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PTEN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hamartoma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tumor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syndrome.Best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Pract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Clin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Gastroenterol.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2022;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58–59: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101792.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10.1016/j.bpg.2022.101792.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McKenna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D.B.,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Akker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Zhou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A.Y.,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Ryan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O'Connor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Shah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P.D.,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Rustgi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A.K.,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Katona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B.W.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Identification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novel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GREM1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duplication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patient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multiple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polyps.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Fam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2019;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18(1):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63</w:t>
      </w:r>
      <w:r w:rsidRPr="0058559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66.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10.1007/s10689-018-0090-6.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lastRenderedPageBreak/>
        <w:t>Nieminen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T.T.,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O'Donohue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M.F.,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Wu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Lohi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Scherer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S.W.,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Paterson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A.D.,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Ellonen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Abdel-Rahman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Valo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Mecklin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Järvinen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H.J.,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Gleizes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Peltomäki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Germline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mutation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RPS20,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encoding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ribosomal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protein,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causes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predisposition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hereditary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nonpolyposis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colorectal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carcinoma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without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DNA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mismatch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repair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deficiency.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Gastroenterology.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2014;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147(3):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595–98.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10.1053/j.gastro.2014.06.009.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8559C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Lipton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J.M.,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Molmenti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C.L.S.,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Desai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Lipton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Ellis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S.R.,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Vlachos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Early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Onset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Colorectal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Emerging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Risk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Patients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with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Diamond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Blackfan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Anemia.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(Basel).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2021;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13(1):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56.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10.3390/genes13010056.</w:t>
      </w:r>
    </w:p>
    <w:p w:rsidR="00ED3062" w:rsidRPr="0058559C" w:rsidRDefault="0058559C" w:rsidP="006454F6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Amiot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Gubeljak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Fontaine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Smith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Mortemousque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Parodi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Mauillon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Kasper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Baert-Desurmont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Tinat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J.,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Houdayer</w:t>
      </w:r>
      <w:r w:rsidR="00AD7635" w:rsidRPr="00AD763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RPS20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gene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variant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colorectal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diagnosis: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insight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from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large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series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patients.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Fam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Cancer.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2025;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24(1):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22.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gramEnd"/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AD7635" w:rsidRPr="00AD763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8559C">
        <w:rPr>
          <w:rFonts w:ascii="Times New Roman" w:eastAsia="Times New Roman" w:hAnsi="Times New Roman" w:cs="Times New Roman"/>
          <w:sz w:val="24"/>
          <w:szCs w:val="24"/>
          <w:lang w:val="en-US"/>
        </w:rPr>
        <w:t>10.1007/s10689-025-00446-y.</w:t>
      </w:r>
      <w:bookmarkStart w:id="6" w:name="_heading=h.k3yfbf6pudpr" w:colFirst="0" w:colLast="0"/>
      <w:bookmarkEnd w:id="6"/>
    </w:p>
    <w:sectPr w:rsidR="00ED3062" w:rsidRPr="0058559C" w:rsidSect="00F90FC2">
      <w:pgSz w:w="12240" w:h="15840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5D69"/>
    <w:multiLevelType w:val="multilevel"/>
    <w:tmpl w:val="669872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FE910E7"/>
    <w:multiLevelType w:val="multilevel"/>
    <w:tmpl w:val="669872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9190E53"/>
    <w:multiLevelType w:val="multilevel"/>
    <w:tmpl w:val="25F6B95A"/>
    <w:lvl w:ilvl="0">
      <w:start w:val="1"/>
      <w:numFmt w:val="decimal"/>
      <w:lvlText w:val="%1."/>
      <w:lvlJc w:val="left"/>
      <w:pPr>
        <w:ind w:left="720" w:hanging="360"/>
      </w:pPr>
      <w:rPr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B9D0C25"/>
    <w:multiLevelType w:val="multilevel"/>
    <w:tmpl w:val="669872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9905F78"/>
    <w:multiLevelType w:val="multilevel"/>
    <w:tmpl w:val="669872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20"/>
  <w:characterSpacingControl w:val="doNotCompress"/>
  <w:compat/>
  <w:rsids>
    <w:rsidRoot w:val="00ED3062"/>
    <w:rsid w:val="001449CF"/>
    <w:rsid w:val="00173F8B"/>
    <w:rsid w:val="00180542"/>
    <w:rsid w:val="001806F2"/>
    <w:rsid w:val="00323516"/>
    <w:rsid w:val="00392520"/>
    <w:rsid w:val="00450EE0"/>
    <w:rsid w:val="004C47E5"/>
    <w:rsid w:val="0058559C"/>
    <w:rsid w:val="00585BE7"/>
    <w:rsid w:val="006454F6"/>
    <w:rsid w:val="00661BD0"/>
    <w:rsid w:val="006802E9"/>
    <w:rsid w:val="00776D06"/>
    <w:rsid w:val="00857E8B"/>
    <w:rsid w:val="008C4952"/>
    <w:rsid w:val="0099192D"/>
    <w:rsid w:val="009E72B1"/>
    <w:rsid w:val="00A11CD2"/>
    <w:rsid w:val="00A46338"/>
    <w:rsid w:val="00AD7635"/>
    <w:rsid w:val="00C771FE"/>
    <w:rsid w:val="00CA7D68"/>
    <w:rsid w:val="00D038E8"/>
    <w:rsid w:val="00D57FAB"/>
    <w:rsid w:val="00D85067"/>
    <w:rsid w:val="00E32EB2"/>
    <w:rsid w:val="00EC6FF7"/>
    <w:rsid w:val="00ED3062"/>
    <w:rsid w:val="00EE0889"/>
    <w:rsid w:val="00F90F1A"/>
    <w:rsid w:val="00F90FC2"/>
    <w:rsid w:val="00F9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D8"/>
  </w:style>
  <w:style w:type="paragraph" w:styleId="1">
    <w:name w:val="heading 1"/>
    <w:basedOn w:val="a"/>
    <w:next w:val="a"/>
    <w:link w:val="10"/>
    <w:rsid w:val="00EC6F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EC6F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EC6F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EC6F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EC6FF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EC6F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C6F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EC6FF7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rsid w:val="00EC6F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EC6FF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10">
    <w:name w:val="Заголовок 1 Знак"/>
    <w:basedOn w:val="a0"/>
    <w:link w:val="1"/>
    <w:rsid w:val="0058559C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58559C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58559C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58559C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58559C"/>
    <w:rPr>
      <w:b/>
    </w:rPr>
  </w:style>
  <w:style w:type="character" w:customStyle="1" w:styleId="60">
    <w:name w:val="Заголовок 6 Знак"/>
    <w:basedOn w:val="a0"/>
    <w:link w:val="6"/>
    <w:rsid w:val="0058559C"/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58559C"/>
    <w:rPr>
      <w:b/>
      <w:sz w:val="72"/>
      <w:szCs w:val="72"/>
    </w:rPr>
  </w:style>
  <w:style w:type="character" w:customStyle="1" w:styleId="a6">
    <w:name w:val="Подзаголовок Знак"/>
    <w:basedOn w:val="a0"/>
    <w:link w:val="a5"/>
    <w:rsid w:val="0058559C"/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List Paragraph"/>
    <w:basedOn w:val="a"/>
    <w:uiPriority w:val="34"/>
    <w:qFormat/>
    <w:rsid w:val="0058559C"/>
    <w:pPr>
      <w:ind w:left="720"/>
      <w:contextualSpacing/>
    </w:pPr>
  </w:style>
  <w:style w:type="character" w:customStyle="1" w:styleId="bkciteavail">
    <w:name w:val="bk_cite_avail"/>
    <w:basedOn w:val="a0"/>
    <w:rsid w:val="0058559C"/>
  </w:style>
  <w:style w:type="character" w:styleId="a9">
    <w:name w:val="Hyperlink"/>
    <w:basedOn w:val="a0"/>
    <w:uiPriority w:val="99"/>
    <w:unhideWhenUsed/>
    <w:rsid w:val="005855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D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9SwwdU+NwZ/0D/O7lmKqZrtCQQ==">CgMxLjAyDmgudmo0dTZvMjRmNGxvMg5oLmI0aG5iYnYxOTUwaTIOaC50Z3FhZzc1MGdvY2cyDmgucDd6eTF6cW9kaTltMg5oLmdqb2ptc3Z0NThmeDIOaC5rM3lmYmY2cHVkcHI4AHIhMW01eWxpV3d2T2lraXhSZkg3UmF4QjNKSWJWVURyZnV1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7536</Words>
  <Characters>42961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dcterms:created xsi:type="dcterms:W3CDTF">2025-10-15T04:48:00Z</dcterms:created>
  <dcterms:modified xsi:type="dcterms:W3CDTF">2025-12-02T10:20:00Z</dcterms:modified>
</cp:coreProperties>
</file>